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adjustRightInd w:val="0"/>
        <w:snapToGrid w:val="0"/>
        <w:spacing w:before="0" w:beforeAutospacing="0" w:after="0" w:afterAutospacing="0" w:line="560" w:lineRule="exact"/>
        <w:ind w:left="0" w:right="0"/>
        <w:jc w:val="left"/>
        <w:rPr>
          <w:rFonts w:hint="eastAsia" w:ascii="仿宋_GB2312" w:hAnsi="仿宋" w:eastAsia="仿宋_GB2312" w:cs="Mangal"/>
          <w:sz w:val="32"/>
          <w:szCs w:val="32"/>
          <w:shd w:val="clear" w:fill="FFFFFF"/>
          <w:lang w:val="en-US"/>
        </w:rPr>
      </w:pPr>
      <w:r>
        <w:rPr>
          <w:rFonts w:hint="eastAsia" w:ascii="仿宋_GB2312" w:hAnsi="仿宋" w:eastAsia="仿宋_GB2312" w:cs="Mangal"/>
          <w:kern w:val="2"/>
          <w:sz w:val="32"/>
          <w:szCs w:val="32"/>
          <w:shd w:val="clear" w:fill="FFFFFF"/>
          <w:lang w:val="en-US" w:eastAsia="zh-CN" w:bidi="ar"/>
        </w:rPr>
        <w:t>附件 2</w:t>
      </w:r>
    </w:p>
    <w:p>
      <w:pPr>
        <w:keepNext w:val="0"/>
        <w:keepLines w:val="0"/>
        <w:widowControl/>
        <w:suppressLineNumbers w:val="0"/>
        <w:shd w:val="clear" w:fill="FFFFFF"/>
        <w:adjustRightInd w:val="0"/>
        <w:snapToGrid w:val="0"/>
        <w:spacing w:before="0" w:beforeAutospacing="0" w:after="0" w:afterAutospacing="0" w:line="560" w:lineRule="exact"/>
        <w:ind w:left="0" w:right="0"/>
        <w:jc w:val="center"/>
        <w:rPr>
          <w:rFonts w:hint="eastAsia" w:ascii="仿宋_GB2312" w:hAnsi="仿宋" w:eastAsia="仿宋_GB2312" w:cs="Mangal"/>
          <w:b/>
          <w:bCs/>
          <w:sz w:val="32"/>
          <w:szCs w:val="32"/>
          <w:shd w:val="clear" w:fill="FFFFFF"/>
          <w:lang w:val="en-US"/>
        </w:rPr>
      </w:pPr>
      <w:r>
        <w:rPr>
          <w:rFonts w:hint="eastAsia" w:ascii="仿宋_GB2312" w:hAnsi="仿宋" w:eastAsia="仿宋_GB2312" w:cs="Mangal"/>
          <w:b/>
          <w:bCs/>
          <w:kern w:val="2"/>
          <w:sz w:val="32"/>
          <w:szCs w:val="32"/>
          <w:shd w:val="clear" w:fill="FFFFFF"/>
          <w:lang w:val="en-US" w:eastAsia="zh-CN" w:bidi="ar"/>
        </w:rPr>
        <w:t>“学创杯”创业综合模拟大赛数字营销模拟赛方案</w:t>
      </w:r>
    </w:p>
    <w:p>
      <w:pPr>
        <w:keepNext w:val="0"/>
        <w:keepLines w:val="0"/>
        <w:widowControl/>
        <w:suppressLineNumbers w:val="0"/>
        <w:shd w:val="clear" w:fill="FFFFFF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left"/>
        <w:rPr>
          <w:rFonts w:hint="eastAsia" w:ascii="仿宋_GB2312" w:hAnsi="仿宋" w:eastAsia="仿宋_GB2312" w:cs="Mangal"/>
          <w:sz w:val="32"/>
          <w:szCs w:val="32"/>
          <w:shd w:val="clear" w:fill="FFFFFF"/>
          <w:lang w:val="en-US"/>
        </w:rPr>
      </w:pPr>
      <w:r>
        <w:rPr>
          <w:rFonts w:hint="eastAsia" w:ascii="仿宋_GB2312" w:hAnsi="仿宋" w:eastAsia="仿宋_GB2312" w:cs="Mangal"/>
          <w:kern w:val="2"/>
          <w:sz w:val="32"/>
          <w:szCs w:val="32"/>
          <w:shd w:val="clear" w:fill="FFFFFF"/>
          <w:lang w:val="en-US" w:eastAsia="zh-CN" w:bidi="ar"/>
        </w:rPr>
        <w:t>一、比赛形式</w:t>
      </w:r>
    </w:p>
    <w:p>
      <w:pPr>
        <w:keepNext w:val="0"/>
        <w:keepLines w:val="0"/>
        <w:widowControl/>
        <w:suppressLineNumbers w:val="0"/>
        <w:shd w:val="clear" w:fill="FFFFFF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left"/>
        <w:rPr>
          <w:rFonts w:hint="eastAsia" w:ascii="仿宋_GB2312" w:hAnsi="仿宋" w:eastAsia="仿宋_GB2312" w:cs="Mangal"/>
          <w:sz w:val="32"/>
          <w:szCs w:val="32"/>
          <w:shd w:val="clear" w:fill="FFFFFF"/>
          <w:lang w:val="en-US"/>
        </w:rPr>
      </w:pPr>
      <w:r>
        <w:rPr>
          <w:rFonts w:hint="eastAsia" w:ascii="仿宋_GB2312" w:hAnsi="仿宋" w:eastAsia="仿宋_GB2312" w:cs="Mangal"/>
          <w:kern w:val="2"/>
          <w:sz w:val="32"/>
          <w:szCs w:val="32"/>
          <w:shd w:val="clear" w:fill="FFFFFF"/>
          <w:lang w:val="en-US" w:eastAsia="zh-CN" w:bidi="ar"/>
        </w:rPr>
        <w:t>全程采用《营销之道》作为竞技平台。模拟制定企业营销战略、分析市场环境、选择目标市场、产品策略、定价策略、渠道策略、促销策略等</w:t>
      </w:r>
      <w:bookmarkStart w:id="0" w:name="_GoBack"/>
      <w:bookmarkEnd w:id="0"/>
      <w:r>
        <w:rPr>
          <w:rFonts w:hint="eastAsia" w:ascii="仿宋_GB2312" w:hAnsi="仿宋" w:eastAsia="仿宋_GB2312" w:cs="Mangal"/>
          <w:kern w:val="2"/>
          <w:sz w:val="32"/>
          <w:szCs w:val="32"/>
          <w:shd w:val="clear" w:fill="FFFFFF"/>
          <w:lang w:val="en-US" w:eastAsia="zh-CN" w:bidi="ar"/>
        </w:rPr>
        <w:t>决策并开展 4 个季度的企业经营。</w:t>
      </w:r>
    </w:p>
    <w:p>
      <w:pPr>
        <w:keepNext w:val="0"/>
        <w:keepLines w:val="0"/>
        <w:widowControl/>
        <w:suppressLineNumbers w:val="0"/>
        <w:shd w:val="clear" w:fill="FFFFFF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left"/>
        <w:rPr>
          <w:rFonts w:hint="eastAsia" w:ascii="仿宋_GB2312" w:hAnsi="仿宋" w:eastAsia="仿宋_GB2312" w:cs="Mangal"/>
          <w:sz w:val="32"/>
          <w:szCs w:val="32"/>
          <w:shd w:val="clear" w:fill="FFFFFF"/>
          <w:lang w:val="en-US"/>
        </w:rPr>
      </w:pPr>
      <w:r>
        <w:rPr>
          <w:rFonts w:hint="eastAsia" w:ascii="仿宋_GB2312" w:hAnsi="仿宋" w:eastAsia="仿宋_GB2312" w:cs="Mangal"/>
          <w:kern w:val="2"/>
          <w:sz w:val="32"/>
          <w:szCs w:val="32"/>
          <w:shd w:val="clear" w:fill="FFFFFF"/>
          <w:lang w:val="en-US" w:eastAsia="zh-CN" w:bidi="ar"/>
        </w:rPr>
        <w:t>二、评审规则</w:t>
      </w:r>
    </w:p>
    <w:p>
      <w:pPr>
        <w:keepNext w:val="0"/>
        <w:keepLines w:val="0"/>
        <w:widowControl/>
        <w:suppressLineNumbers w:val="0"/>
        <w:shd w:val="clear" w:fill="FFFFFF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left"/>
        <w:rPr>
          <w:rFonts w:hint="eastAsia" w:ascii="仿宋_GB2312" w:hAnsi="仿宋" w:eastAsia="仿宋_GB2312" w:cs="Mangal"/>
          <w:sz w:val="32"/>
          <w:szCs w:val="32"/>
          <w:shd w:val="clear" w:fill="FFFFFF"/>
          <w:lang w:val="en-US"/>
        </w:rPr>
      </w:pPr>
      <w:r>
        <w:rPr>
          <w:rFonts w:hint="eastAsia" w:ascii="仿宋_GB2312" w:hAnsi="仿宋" w:eastAsia="仿宋_GB2312" w:cs="Mangal"/>
          <w:kern w:val="2"/>
          <w:sz w:val="32"/>
          <w:szCs w:val="32"/>
          <w:shd w:val="clear" w:fill="FFFFFF"/>
          <w:lang w:val="en-US" w:eastAsia="zh-CN" w:bidi="ar"/>
        </w:rPr>
        <w:t>大赛组委会将对有效报名团队进行电脑随机分组，各团队最终成绩以经营结束后系统中自动计算的成绩为准。</w:t>
      </w:r>
    </w:p>
    <w:p>
      <w:pPr>
        <w:keepNext w:val="0"/>
        <w:keepLines w:val="0"/>
        <w:widowControl/>
        <w:suppressLineNumbers w:val="0"/>
        <w:shd w:val="clear" w:fill="FFFFFF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left"/>
        <w:rPr>
          <w:rFonts w:hint="eastAsia" w:ascii="仿宋_GB2312" w:hAnsi="仿宋" w:eastAsia="仿宋_GB2312" w:cs="Mangal"/>
          <w:sz w:val="32"/>
          <w:szCs w:val="32"/>
          <w:shd w:val="clear" w:fill="FFFFFF"/>
          <w:lang w:val="en-US"/>
        </w:rPr>
      </w:pPr>
      <w:r>
        <w:rPr>
          <w:rFonts w:hint="eastAsia" w:ascii="仿宋_GB2312" w:hAnsi="仿宋" w:eastAsia="仿宋_GB2312" w:cs="Mangal"/>
          <w:kern w:val="2"/>
          <w:sz w:val="32"/>
          <w:szCs w:val="32"/>
          <w:shd w:val="clear" w:fill="FFFFFF"/>
          <w:lang w:val="en-US" w:eastAsia="zh-CN" w:bidi="ar"/>
        </w:rPr>
        <w:t>比赛选拔将采取现场发布数据规则，在比赛正式开始前发布。训练期间的行业模板以系统内显示为准。</w:t>
      </w:r>
    </w:p>
    <w:p>
      <w:pPr>
        <w:keepNext w:val="0"/>
        <w:keepLines w:val="0"/>
        <w:widowControl/>
        <w:suppressLineNumbers w:val="0"/>
        <w:shd w:val="clear" w:fill="FFFFFF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left"/>
        <w:rPr>
          <w:rFonts w:hint="eastAsia" w:ascii="仿宋_GB2312" w:hAnsi="仿宋" w:eastAsia="仿宋_GB2312" w:cs="Mangal"/>
          <w:sz w:val="32"/>
          <w:szCs w:val="32"/>
          <w:shd w:val="clear" w:fill="FFFFFF"/>
          <w:lang w:val="en-US"/>
        </w:rPr>
      </w:pPr>
      <w:r>
        <w:rPr>
          <w:rFonts w:hint="eastAsia" w:ascii="仿宋_GB2312" w:hAnsi="仿宋" w:eastAsia="仿宋_GB2312" w:cs="Mangal"/>
          <w:kern w:val="2"/>
          <w:sz w:val="32"/>
          <w:szCs w:val="32"/>
          <w:shd w:val="clear" w:fill="FFFFFF"/>
          <w:lang w:val="en-US" w:eastAsia="zh-CN" w:bidi="ar"/>
        </w:rPr>
        <w:t>通过模拟经营一家创业型公司，全程模拟营销实战。一共运营 4 个季度，每个季度公司都需要进行财务预算、资金筹措、投资决策、报表分析、生产制造、市场营销等各项经营管理工作， 每项工作都需要仔细分析讨论，并形成一致的决策意见输入到系统中。</w:t>
      </w:r>
    </w:p>
    <w:p>
      <w:pPr>
        <w:keepNext w:val="0"/>
        <w:keepLines w:val="0"/>
        <w:widowControl/>
        <w:suppressLineNumbers w:val="0"/>
        <w:shd w:val="clear" w:fill="FFFFFF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left"/>
        <w:rPr>
          <w:rFonts w:hint="eastAsia" w:ascii="仿宋_GB2312" w:hAnsi="仿宋" w:eastAsia="仿宋_GB2312" w:cs="Mangal"/>
          <w:sz w:val="32"/>
          <w:szCs w:val="32"/>
          <w:shd w:val="clear" w:fill="FFFFFF"/>
          <w:lang w:val="en-US"/>
        </w:rPr>
      </w:pPr>
      <w:r>
        <w:rPr>
          <w:rFonts w:hint="eastAsia" w:ascii="仿宋_GB2312" w:hAnsi="仿宋" w:eastAsia="仿宋_GB2312" w:cs="Mangal"/>
          <w:kern w:val="2"/>
          <w:sz w:val="32"/>
          <w:szCs w:val="32"/>
          <w:shd w:val="clear" w:fill="FFFFFF"/>
          <w:lang w:val="en-US" w:eastAsia="zh-CN" w:bidi="ar"/>
        </w:rPr>
        <w:t>团队最终成绩直接取经营结束后系统中自动计算的成绩为准。成绩计算方法：</w:t>
      </w:r>
    </w:p>
    <w:p>
      <w:pPr>
        <w:keepNext w:val="0"/>
        <w:keepLines w:val="0"/>
        <w:widowControl/>
        <w:suppressLineNumbers w:val="0"/>
        <w:shd w:val="clear" w:fill="FFFFFF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left"/>
        <w:rPr>
          <w:rFonts w:hint="eastAsia" w:ascii="仿宋_GB2312" w:hAnsi="仿宋" w:eastAsia="仿宋_GB2312" w:cs="Mangal"/>
          <w:sz w:val="32"/>
          <w:szCs w:val="32"/>
          <w:shd w:val="clear" w:fill="FFFFFF"/>
          <w:lang w:val="en-US"/>
        </w:rPr>
      </w:pPr>
      <w:r>
        <w:rPr>
          <w:rFonts w:hint="eastAsia" w:ascii="仿宋_GB2312" w:hAnsi="仿宋" w:eastAsia="仿宋_GB2312" w:cs="Mangal"/>
          <w:kern w:val="2"/>
          <w:sz w:val="32"/>
          <w:szCs w:val="32"/>
          <w:shd w:val="clear" w:fill="FFFFFF"/>
          <w:lang w:val="en-US" w:eastAsia="zh-CN" w:bidi="ar"/>
        </w:rPr>
        <w:t>团队最终得分(A)＝比赛结束季度综合表现分数(B)－累计减分(C)</w:t>
      </w:r>
    </w:p>
    <w:p>
      <w:pPr>
        <w:keepNext w:val="0"/>
        <w:keepLines w:val="0"/>
        <w:widowControl/>
        <w:suppressLineNumbers w:val="0"/>
        <w:shd w:val="clear" w:fill="FFFFFF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left"/>
        <w:rPr>
          <w:rFonts w:hint="eastAsia" w:ascii="仿宋_GB2312" w:hAnsi="仿宋" w:eastAsia="仿宋_GB2312" w:cs="Mangal"/>
          <w:sz w:val="32"/>
          <w:szCs w:val="32"/>
          <w:shd w:val="clear" w:fill="FFFFFF"/>
          <w:lang w:val="en-US"/>
        </w:rPr>
      </w:pPr>
      <w:r>
        <w:rPr>
          <w:rFonts w:hint="eastAsia" w:ascii="仿宋_GB2312" w:hAnsi="仿宋" w:eastAsia="仿宋_GB2312" w:cs="Mangal"/>
          <w:kern w:val="2"/>
          <w:sz w:val="32"/>
          <w:szCs w:val="32"/>
          <w:shd w:val="clear" w:fill="FFFFFF"/>
          <w:lang w:val="en-US" w:eastAsia="zh-CN" w:bidi="ar"/>
        </w:rPr>
        <w:t>综合表现分数(B)＝盈利表现＋市场表现＋成长表现</w:t>
      </w:r>
    </w:p>
    <w:p>
      <w:pPr>
        <w:keepNext w:val="0"/>
        <w:keepLines w:val="0"/>
        <w:widowControl/>
        <w:suppressLineNumbers w:val="0"/>
        <w:shd w:val="clear" w:fill="FFFFFF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left"/>
        <w:rPr>
          <w:rFonts w:hint="eastAsia" w:ascii="仿宋_GB2312" w:hAnsi="仿宋" w:eastAsia="仿宋_GB2312" w:cs="Mangal"/>
          <w:sz w:val="32"/>
          <w:szCs w:val="32"/>
          <w:shd w:val="clear" w:fill="FFFFFF"/>
          <w:lang w:val="en-US"/>
        </w:rPr>
      </w:pPr>
      <w:r>
        <w:rPr>
          <w:rFonts w:hint="eastAsia" w:ascii="仿宋_GB2312" w:hAnsi="仿宋" w:eastAsia="仿宋_GB2312" w:cs="Mangal"/>
          <w:kern w:val="2"/>
          <w:sz w:val="32"/>
          <w:szCs w:val="32"/>
          <w:shd w:val="clear" w:fill="FFFFFF"/>
          <w:lang w:val="en-US" w:eastAsia="zh-CN" w:bidi="ar"/>
        </w:rPr>
        <w:t>累计减分(C)＝经营过程中累计出现紧急贷款次数*5</w:t>
      </w:r>
    </w:p>
    <w:p>
      <w:pPr>
        <w:keepNext w:val="0"/>
        <w:keepLines w:val="0"/>
        <w:widowControl/>
        <w:suppressLineNumbers w:val="0"/>
        <w:shd w:val="clear" w:fill="FFFFFF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left"/>
        <w:rPr>
          <w:rFonts w:hint="eastAsia" w:ascii="仿宋_GB2312" w:hAnsi="仿宋" w:eastAsia="仿宋_GB2312" w:cs="Mangal"/>
          <w:sz w:val="32"/>
          <w:szCs w:val="32"/>
          <w:shd w:val="clear" w:fill="FFFFFF"/>
          <w:lang w:val="en-US"/>
        </w:rPr>
      </w:pPr>
      <w:r>
        <w:rPr>
          <w:rFonts w:hint="eastAsia" w:ascii="仿宋_GB2312" w:hAnsi="仿宋" w:eastAsia="仿宋_GB2312" w:cs="Mangal"/>
          <w:kern w:val="2"/>
          <w:sz w:val="32"/>
          <w:szCs w:val="32"/>
          <w:shd w:val="clear" w:fill="FFFFFF"/>
          <w:lang w:val="en-US" w:eastAsia="zh-CN" w:bidi="ar"/>
        </w:rPr>
        <w:t>（注：综合表现分数(B)由计算机比赛软件模拟系统自动评分）</w:t>
      </w:r>
    </w:p>
    <w:p/>
    <w:sectPr>
      <w:pgSz w:w="12240" w:h="15840"/>
      <w:pgMar w:top="1440" w:right="1800" w:bottom="1440" w:left="1800" w:header="720" w:footer="720" w:gutter="0"/>
      <w:paperSrc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angal">
    <w:altName w:val="Segoe Print"/>
    <w:panose1 w:val="00000400000000000000"/>
    <w:charset w:val="01"/>
    <w:family w:val="auto"/>
    <w:pitch w:val="variable"/>
    <w:sig w:usb0="00002000" w:usb1="00000000" w:usb2="00000000" w:usb3="00000000" w:csb0="00000000" w:csb1="00000000"/>
  </w:font>
  <w:font w:name="Cambria Math">
    <w:panose1 w:val="02040503050406030204"/>
    <w:charset w:val="00"/>
    <w:family w:val="auto"/>
    <w:pitch w:val="variable"/>
    <w:sig w:usb0="E00006FF" w:usb1="420024FF" w:usb2="02000000" w:usb3="00000000" w:csb0="2000019F" w:csb1="00000000"/>
  </w:font>
  <w:font w:name="仿宋_GB2312">
    <w:panose1 w:val="02010609030101010101"/>
    <w:charset w:val="86"/>
    <w:family w:val="auto"/>
    <w:pitch w:val="fixed"/>
    <w:sig w:usb0="00000001" w:usb1="080E0000" w:usb2="00000000" w:usb3="00000000" w:csb0="00040000" w:csb1="00000000"/>
  </w:font>
  <w:font w:name="@宋体">
    <w:panose1 w:val="02010600030101010101"/>
    <w:charset w:val="86"/>
    <w:family w:val="auto"/>
    <w:pitch w:val="variable"/>
    <w:sig w:usb0="00000203" w:usb1="288F0000" w:usb2="00000006" w:usb3="00000000" w:csb0="00040001" w:csb1="00000000"/>
  </w:font>
  <w:font w:name="仿宋">
    <w:panose1 w:val="02010609060101010101"/>
    <w:charset w:val="86"/>
    <w:family w:val="auto"/>
    <w:pitch w:val="fixed"/>
    <w:sig w:usb0="800002BF" w:usb1="38CF7CFA" w:usb2="00000016" w:usb3="00000000" w:csb0="00040001" w:csb1="00000000"/>
  </w:font>
  <w:font w:name="@仿宋_GB2312">
    <w:panose1 w:val="02010609030101010101"/>
    <w:charset w:val="86"/>
    <w:family w:val="auto"/>
    <w:pitch w:val="fixed"/>
    <w:sig w:usb0="00000001" w:usb1="080E0000" w:usb2="00000000" w:usb3="00000000" w:csb0="00040000" w:csb1="00000000"/>
  </w:font>
  <w:font w:name="@仿宋">
    <w:panose1 w:val="02010609060101010101"/>
    <w:charset w:val="86"/>
    <w:family w:val="auto"/>
    <w:pitch w:val="fixed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NlNmI3ODZlODE2M2JjZjI5MTc5OTcyN2Y0NjE4MjAifQ=="/>
  </w:docVars>
  <w:rsids>
    <w:rsidRoot w:val="00000000"/>
    <w:rsid w:val="09177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2024-05-31T02:09:26Z</dcterms:created>
  <dc:creator>49686</dc:creator>
  <cp:lastModifiedBy>49686</cp:lastModifiedBy>
  <dcterms:modified xsi:type="dcterms:W3CDTF">2024-05-31T02:09:48Z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699F0905083F44BB8F720714B3283B31_12</vt:lpwstr>
  </property>
</Properties>
</file>